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42D32" w14:textId="540715AC" w:rsidR="00620893" w:rsidRPr="00BA2617" w:rsidRDefault="00000000" w:rsidP="009953E0">
      <w:pPr>
        <w:jc w:val="center"/>
        <w:rPr>
          <w:b/>
          <w:bCs/>
          <w:sz w:val="28"/>
          <w:szCs w:val="28"/>
        </w:rPr>
      </w:pPr>
      <w:r w:rsidRPr="00BA2617">
        <w:rPr>
          <w:b/>
          <w:bCs/>
          <w:noProof/>
          <w:sz w:val="28"/>
          <w:szCs w:val="28"/>
        </w:rPr>
        <mc:AlternateContent>
          <mc:Choice Requires="wps">
            <w:drawing>
              <wp:anchor distT="0" distB="0" distL="114300" distR="114300" simplePos="0" relativeHeight="251659264" behindDoc="0" locked="0" layoutInCell="1" allowOverlap="1" wp14:anchorId="317C309F" wp14:editId="03C913BE">
                <wp:simplePos x="0" y="0"/>
                <wp:positionH relativeFrom="page">
                  <wp:align>right</wp:align>
                </wp:positionH>
                <wp:positionV relativeFrom="page">
                  <wp:posOffset>-57149</wp:posOffset>
                </wp:positionV>
                <wp:extent cx="7765200" cy="57150"/>
                <wp:effectExtent l="0" t="0" r="0" b="0"/>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765200" cy="57150"/>
                        </a:xfrm>
                        <a:prstGeom prst="rect">
                          <a:avLst/>
                        </a:prstGeom>
                        <a:solidFill>
                          <a:srgbClr val="F2F2F2"/>
                        </a:solidFill>
                        <a:ln w="9525">
                          <a:noFill/>
                          <a:miter lim="800000"/>
                          <a:headEnd/>
                          <a:tailEnd/>
                        </a:ln>
                      </wps:spPr>
                      <wps:txbx>
                        <w:txbxContent>
                          <w:p w14:paraId="3EE35EFC" w14:textId="77777777" w:rsidR="00295330" w:rsidRDefault="00000000">
                            <w:pPr>
                              <w:contextualSpacing/>
                            </w:pPr>
                            <w:r>
                              <w:rPr>
                                <w:noProof/>
                                <w:position w:val="-6"/>
                              </w:rPr>
                              <w:drawing>
                                <wp:inline distT="0" distB="0" distL="0" distR="0" wp14:anchorId="6F9CCB6B" wp14:editId="6D34B59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Id6" w:tooltip="Doc Translator - www.onlinedoctranslator.com" w:history="1">
                              <w:r>
                                <w:rPr>
                                  <w:rFonts w:ascii="Roboto" w:hAnsi="Roboto"/>
                                  <w:color w:val="0F2B46"/>
                                  <w:sz w:val="18"/>
                                  <w:szCs w:val="18"/>
                                </w:rPr>
                                <w:t xml:space="preserve">Traducido del inglés al español - </w:t>
                              </w:r>
                              <w:r>
                                <w:rPr>
                                  <w:rFonts w:ascii="Roboto" w:hAnsi="Roboto"/>
                                  <w:color w:val="0F2B46"/>
                                  <w:sz w:val="18"/>
                                  <w:szCs w:val="18"/>
                                  <w:u w:val="single"/>
                                </w:rPr>
                                <w:t>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w14:anchorId="317C309F" id="_x0000_t202" coordsize="21600,21600" o:spt="202" path="m,l,21600r21600,l21600,xe">
                <v:stroke joinstyle="miter"/>
                <v:path gradientshapeok="t" o:connecttype="rect"/>
              </v:shapetype>
              <v:shape id="ODT_ATTR_LBL_SHAPE" o:spid="_x0000_s1026" type="#_x0000_t202" style="position:absolute;left:0;text-align:left;margin-left:560.25pt;margin-top:-4.5pt;width:611.45pt;height:4.5pt;flip:y;z-index:251659264;visibility:visible;mso-wrap-style:square;mso-width-percent:1000;mso-height-percent:0;mso-wrap-distance-left:9pt;mso-wrap-distance-top:0;mso-wrap-distance-right:9pt;mso-wrap-distance-bottom:0;mso-position-horizontal:right;mso-position-horizontal-relative:page;mso-position-vertical:absolute;mso-position-vertical-relative:page;mso-width-percent:100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" fillcolor="#f2f2f2" stroked="f">
                <v:textbox inset=",0,,0">
                  <w:txbxContent>
                    <w:p w14:paraId="3EE35EFC" w14:textId="77777777" w:rsidR="00295330" w:rsidRDefault="00000000">
                      <w:pPr>
                        <w:contextualSpacing/>
                      </w:pPr>
                      <w:r>
                        <w:rPr>
                          <w:noProof/>
                          <w:position w:val="-6"/>
                        </w:rPr>
                        <w:drawing>
                          <wp:inline distT="0" distB="0" distL="0" distR="0" wp14:anchorId="6F9CCB6B" wp14:editId="6D34B59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Id7" w:tooltip="Doc Translator - www.onlinedoctranslator.com" w:history="1">
                        <w:r>
                          <w:rPr>
                            <w:rFonts w:ascii="Roboto" w:hAnsi="Roboto"/>
                            <w:color w:val="0F2B46"/>
                            <w:sz w:val="18"/>
                            <w:szCs w:val="18"/>
                          </w:rPr>
                          <w:t xml:space="preserve">Traducido del inglés al español - </w:t>
                        </w:r>
                        <w:r>
                          <w:rPr>
                            <w:rFonts w:ascii="Roboto" w:hAnsi="Roboto"/>
                            <w:color w:val="0F2B46"/>
                            <w:sz w:val="18"/>
                            <w:szCs w:val="18"/>
                            <w:u w:val="single"/>
                          </w:rPr>
                          <w:t>www.onlinedoctranslator.com</w:t>
                        </w:r>
                      </w:hyperlink>
                    </w:p>
                  </w:txbxContent>
                </v:textbox>
                <w10:wrap anchorx="page" anchory="page"/>
              </v:shape>
            </w:pict>
          </mc:Fallback>
        </mc:AlternateContent>
      </w:r>
      <w:r w:rsidRPr="00BA2617">
        <w:rPr>
          <w:b/>
          <w:bCs/>
          <w:color w:val="0F0F0F"/>
          <w:spacing w:val="-5"/>
          <w:sz w:val="28"/>
          <w:szCs w:val="28"/>
          <w:u w:val="thick" w:color="0F0F0F"/>
        </w:rPr>
        <w:t>FUNDAMENTOS DEL DESALOJO</w:t>
      </w:r>
    </w:p>
    <w:p w14:paraId="2BE6D0ED" w14:textId="77777777" w:rsidR="00620893" w:rsidRDefault="00620893">
      <w:pPr>
        <w:pStyle w:val="BodyText"/>
        <w:rPr>
          <w:b/>
          <w:sz w:val="20"/>
        </w:rPr>
      </w:pPr>
    </w:p>
    <w:p w14:paraId="50E9CDF1" w14:textId="77777777" w:rsidR="00620893" w:rsidRDefault="00620893">
      <w:pPr>
        <w:pStyle w:val="BodyText"/>
        <w:spacing w:before="2"/>
        <w:rPr>
          <w:b/>
        </w:rPr>
      </w:pPr>
    </w:p>
    <w:p w14:paraId="348E7915" w14:textId="77777777" w:rsidR="00620893" w:rsidRDefault="00000000">
      <w:pPr>
        <w:pStyle w:val="Heading1"/>
        <w:rPr>
          <w:u w:val="none"/>
        </w:rPr>
      </w:pPr>
      <w:r>
        <w:rPr>
          <w:color w:val="0F0F0F"/>
          <w:w w:val="105"/>
          <w:u w:val="thick" w:color="0F0F0F"/>
        </w:rPr>
        <w:t>El proceso de desalojo consta de dos partes:</w:t>
      </w:r>
    </w:p>
    <w:p w14:paraId="58C7EEFF" w14:textId="77777777" w:rsidR="00620893" w:rsidRDefault="00000000">
      <w:pPr>
        <w:pStyle w:val="ListParagraph"/>
        <w:numPr>
          <w:ilvl w:val="0"/>
          <w:numId w:val="4"/>
        </w:numPr>
        <w:tabs>
          <w:tab w:val="left" w:pos="848"/>
        </w:tabs>
        <w:spacing w:before="57"/>
        <w:ind w:hanging="369"/>
        <w:rPr>
          <w:sz w:val="21"/>
        </w:rPr>
      </w:pPr>
      <w:r>
        <w:rPr>
          <w:color w:val="0F0F0F"/>
          <w:w w:val="105"/>
          <w:sz w:val="21"/>
          <w:u w:val="thick" w:color="0F0F0F"/>
        </w:rPr>
        <w:t>Audiencia de posesión</w:t>
      </w:r>
      <w:r>
        <w:rPr>
          <w:color w:val="0F0F0F"/>
          <w:spacing w:val="-15"/>
          <w:w w:val="105"/>
          <w:sz w:val="21"/>
        </w:rPr>
        <w:t xml:space="preserve"> </w:t>
      </w:r>
      <w:r>
        <w:rPr>
          <w:color w:val="0F0F0F"/>
          <w:w w:val="105"/>
          <w:sz w:val="21"/>
        </w:rPr>
        <w:t>- el Tribunal decide a qué parte se le otorgará la posesión del local.</w:t>
      </w:r>
    </w:p>
    <w:p w14:paraId="09289AB6" w14:textId="77777777" w:rsidR="00620893" w:rsidRDefault="00000000">
      <w:pPr>
        <w:pStyle w:val="ListParagraph"/>
        <w:numPr>
          <w:ilvl w:val="0"/>
          <w:numId w:val="4"/>
        </w:numPr>
        <w:tabs>
          <w:tab w:val="left" w:pos="848"/>
        </w:tabs>
        <w:spacing w:before="56" w:line="290" w:lineRule="auto"/>
        <w:ind w:left="843" w:right="298" w:hanging="352"/>
        <w:rPr>
          <w:sz w:val="21"/>
        </w:rPr>
      </w:pPr>
      <w:r>
        <w:rPr>
          <w:color w:val="0F0F0F"/>
          <w:w w:val="105"/>
          <w:sz w:val="21"/>
          <w:u w:val="thick" w:color="0F0F0F"/>
        </w:rPr>
        <w:t>Daños auditivos</w:t>
      </w:r>
      <w:r>
        <w:rPr>
          <w:color w:val="0F0F0F"/>
          <w:spacing w:val="-8"/>
          <w:w w:val="105"/>
          <w:sz w:val="21"/>
        </w:rPr>
        <w:t xml:space="preserve"> </w:t>
      </w:r>
      <w:r>
        <w:rPr>
          <w:color w:val="0F0F0F"/>
          <w:w w:val="105"/>
          <w:sz w:val="21"/>
        </w:rPr>
        <w:t>- el Tribunal decide la cantidad de dinero adeudada, si la hubiere, por cada parte a la otra. Incluye alquiler atrasado, recargos por pago atrasado, honorarios de abogados, reparaciones, etc.</w:t>
      </w:r>
    </w:p>
    <w:p w14:paraId="75C3E512" w14:textId="77777777" w:rsidR="00620893" w:rsidRDefault="00620893">
      <w:pPr>
        <w:pStyle w:val="BodyText"/>
        <w:spacing w:before="4"/>
        <w:rPr>
          <w:sz w:val="19"/>
        </w:rPr>
      </w:pPr>
    </w:p>
    <w:p w14:paraId="7737E324" w14:textId="77777777" w:rsidR="00620893" w:rsidRDefault="00000000">
      <w:pPr>
        <w:pStyle w:val="Heading1"/>
        <w:spacing w:before="93"/>
        <w:ind w:left="126"/>
        <w:rPr>
          <w:u w:val="none"/>
        </w:rPr>
      </w:pPr>
      <w:r>
        <w:rPr>
          <w:color w:val="0F0F0F"/>
          <w:w w:val="105"/>
          <w:u w:val="thick" w:color="0F0F0F"/>
        </w:rPr>
        <w:t>Si va al Tribunal para una audiencia:</w:t>
      </w:r>
    </w:p>
    <w:p w14:paraId="3611C2CE" w14:textId="77777777" w:rsidR="00620893" w:rsidRDefault="00000000">
      <w:pPr>
        <w:pStyle w:val="ListParagraph"/>
        <w:numPr>
          <w:ilvl w:val="0"/>
          <w:numId w:val="3"/>
        </w:numPr>
        <w:tabs>
          <w:tab w:val="left" w:pos="844"/>
        </w:tabs>
        <w:spacing w:before="62"/>
        <w:ind w:hanging="365"/>
        <w:jc w:val="left"/>
        <w:rPr>
          <w:sz w:val="21"/>
        </w:rPr>
      </w:pPr>
      <w:r>
        <w:rPr>
          <w:color w:val="0F0F0F"/>
          <w:w w:val="105"/>
          <w:sz w:val="21"/>
        </w:rPr>
        <w:t>Sé cortés; limitar los comentarios a los hechos necesarios; sea ​​lo más breve posible.</w:t>
      </w:r>
    </w:p>
    <w:p w14:paraId="626B33DF" w14:textId="64FF6973" w:rsidR="00620893" w:rsidRDefault="00000000">
      <w:pPr>
        <w:pStyle w:val="ListParagraph"/>
        <w:numPr>
          <w:ilvl w:val="0"/>
          <w:numId w:val="3"/>
        </w:numPr>
        <w:tabs>
          <w:tab w:val="left" w:pos="839"/>
        </w:tabs>
        <w:spacing w:before="51" w:line="304" w:lineRule="auto"/>
        <w:ind w:right="569" w:hanging="357"/>
        <w:jc w:val="left"/>
        <w:rPr>
          <w:b/>
          <w:sz w:val="19"/>
        </w:rPr>
      </w:pPr>
      <w:r>
        <w:rPr>
          <w:color w:val="0F0F0F"/>
          <w:w w:val="105"/>
          <w:sz w:val="21"/>
        </w:rPr>
        <w:t>Si el juez le ordena mudarse, pídale al juez que ponga estas palabras en su orden:</w:t>
      </w:r>
      <w:r w:rsidR="00BA2617">
        <w:rPr>
          <w:color w:val="0F0F0F"/>
          <w:w w:val="105"/>
          <w:sz w:val="21"/>
        </w:rPr>
        <w:t xml:space="preserve"> </w:t>
      </w:r>
      <w:r>
        <w:rPr>
          <w:b/>
          <w:color w:val="0F0F0F"/>
          <w:w w:val="105"/>
          <w:sz w:val="19"/>
          <w:u w:val="thick" w:color="0F0F0F"/>
        </w:rPr>
        <w:t>"VOLUNTARIO</w:t>
      </w:r>
      <w:r w:rsidR="00BA2617">
        <w:rPr>
          <w:b/>
          <w:color w:val="0F0F0F"/>
          <w:w w:val="105"/>
          <w:sz w:val="19"/>
          <w:u w:val="thick" w:color="0F0F0F"/>
        </w:rPr>
        <w:t xml:space="preserve"> </w:t>
      </w:r>
      <w:r>
        <w:rPr>
          <w:b/>
          <w:color w:val="0F0F0F"/>
          <w:w w:val="105"/>
          <w:sz w:val="19"/>
        </w:rPr>
        <w:t>DESALOJAR EN LUGAR DE DESALOJO".</w:t>
      </w:r>
    </w:p>
    <w:p w14:paraId="45B1E673" w14:textId="77777777" w:rsidR="00620893" w:rsidRDefault="00620893">
      <w:pPr>
        <w:pStyle w:val="BodyText"/>
        <w:spacing w:before="8"/>
        <w:rPr>
          <w:b/>
          <w:sz w:val="15"/>
        </w:rPr>
      </w:pPr>
    </w:p>
    <w:p w14:paraId="54E2ADF5" w14:textId="77777777" w:rsidR="00620893" w:rsidRDefault="00000000">
      <w:pPr>
        <w:pStyle w:val="Heading1"/>
        <w:ind w:left="120"/>
        <w:rPr>
          <w:u w:val="none"/>
        </w:rPr>
      </w:pPr>
      <w:r>
        <w:rPr>
          <w:color w:val="0F0F0F"/>
          <w:w w:val="105"/>
          <w:u w:val="thick" w:color="0F0F0F"/>
        </w:rPr>
        <w:t>Mueva las mejores prácticas:</w:t>
      </w:r>
    </w:p>
    <w:p w14:paraId="1738643A" w14:textId="77777777" w:rsidR="00620893" w:rsidRDefault="00000000">
      <w:pPr>
        <w:pStyle w:val="ListParagraph"/>
        <w:numPr>
          <w:ilvl w:val="0"/>
          <w:numId w:val="2"/>
        </w:numPr>
        <w:tabs>
          <w:tab w:val="left" w:pos="844"/>
        </w:tabs>
        <w:spacing w:before="62" w:line="290" w:lineRule="auto"/>
        <w:ind w:right="519" w:hanging="365"/>
        <w:rPr>
          <w:sz w:val="21"/>
        </w:rPr>
      </w:pPr>
      <w:r>
        <w:rPr>
          <w:color w:val="0F0F0F"/>
          <w:sz w:val="21"/>
          <w:u w:val="thick" w:color="0F0F0F"/>
        </w:rPr>
        <w:t>Limpiar y tomar fotografías.</w:t>
      </w:r>
      <w:r>
        <w:rPr>
          <w:color w:val="0F0F0F"/>
          <w:sz w:val="21"/>
        </w:rPr>
        <w:t>- Limpiar a fondo; Retire todas las pertenencias y la basura. Tome fotografías de cada habitación (pisos, techos, ventanas, etc.) para que pueda mostrar la condición cuando se mudó.</w:t>
      </w:r>
    </w:p>
    <w:p w14:paraId="6969BED6" w14:textId="77777777" w:rsidR="00620893" w:rsidRDefault="00000000">
      <w:pPr>
        <w:pStyle w:val="ListParagraph"/>
        <w:numPr>
          <w:ilvl w:val="0"/>
          <w:numId w:val="2"/>
        </w:numPr>
        <w:tabs>
          <w:tab w:val="left" w:pos="835"/>
        </w:tabs>
        <w:spacing w:before="2" w:line="295" w:lineRule="auto"/>
        <w:ind w:left="840" w:right="774" w:hanging="358"/>
        <w:rPr>
          <w:sz w:val="21"/>
        </w:rPr>
      </w:pPr>
      <w:r>
        <w:rPr>
          <w:color w:val="0F0F0F"/>
          <w:w w:val="105"/>
          <w:sz w:val="21"/>
          <w:u w:val="thick" w:color="0F0F0F"/>
        </w:rPr>
        <w:t>Entrega tus llaves</w:t>
      </w:r>
      <w:r>
        <w:rPr>
          <w:color w:val="0F0F0F"/>
          <w:spacing w:val="-8"/>
          <w:w w:val="105"/>
          <w:sz w:val="21"/>
        </w:rPr>
        <w:t xml:space="preserve"> </w:t>
      </w:r>
      <w:r>
        <w:rPr>
          <w:color w:val="0F0F0F"/>
          <w:w w:val="105"/>
          <w:sz w:val="21"/>
        </w:rPr>
        <w:t>- Asegúrese de entregar las llaves al propietario</w:t>
      </w:r>
      <w:r>
        <w:rPr>
          <w:color w:val="3D3D3D"/>
          <w:w w:val="105"/>
          <w:sz w:val="21"/>
        </w:rPr>
        <w:t>.</w:t>
      </w:r>
      <w:r>
        <w:rPr>
          <w:color w:val="0F0F0F"/>
          <w:w w:val="105"/>
          <w:sz w:val="21"/>
        </w:rPr>
        <w:t>Si no entrega las llaves, el arrendador puede cobrarle por cambiar las cerraduras y el alquiler hasta que se cambien las cerraduras.</w:t>
      </w:r>
    </w:p>
    <w:p w14:paraId="18CB19AC" w14:textId="77777777" w:rsidR="00620893" w:rsidRDefault="00000000">
      <w:pPr>
        <w:pStyle w:val="ListParagraph"/>
        <w:numPr>
          <w:ilvl w:val="0"/>
          <w:numId w:val="2"/>
        </w:numPr>
        <w:tabs>
          <w:tab w:val="left" w:pos="839"/>
        </w:tabs>
        <w:spacing w:line="292" w:lineRule="auto"/>
        <w:ind w:left="836" w:right="327" w:hanging="358"/>
        <w:rPr>
          <w:sz w:val="21"/>
        </w:rPr>
      </w:pPr>
      <w:r>
        <w:rPr>
          <w:color w:val="0F0F0F"/>
          <w:w w:val="105"/>
          <w:sz w:val="21"/>
          <w:u w:val="thick" w:color="0F0F0F"/>
        </w:rPr>
        <w:t>Dejar una dirección de reenvío</w:t>
      </w:r>
      <w:r>
        <w:rPr>
          <w:color w:val="0F0F0F"/>
          <w:w w:val="105"/>
          <w:sz w:val="21"/>
        </w:rPr>
        <w:t>-El arrendador tiene la obligación legal de enviarle un estado de cuenta que muestre la cantidad de dinero que afirma que le debe</w:t>
      </w:r>
      <w:r>
        <w:rPr>
          <w:color w:val="3D3D3D"/>
          <w:w w:val="105"/>
          <w:sz w:val="21"/>
        </w:rPr>
        <w:t>.</w:t>
      </w:r>
      <w:r>
        <w:rPr>
          <w:color w:val="0F0F0F"/>
          <w:w w:val="105"/>
          <w:sz w:val="21"/>
        </w:rPr>
        <w:t>Deben enviarle esta declaración dentro de los 45 días posteriores a la fecha en que se mude, o al menos 10 días antes de la audiencia por daños.</w:t>
      </w:r>
    </w:p>
    <w:p w14:paraId="42A48D9D" w14:textId="77777777" w:rsidR="00620893" w:rsidRDefault="00620893">
      <w:pPr>
        <w:pStyle w:val="BodyText"/>
        <w:spacing w:before="10"/>
        <w:rPr>
          <w:sz w:val="18"/>
        </w:rPr>
      </w:pPr>
    </w:p>
    <w:p w14:paraId="3DD9875E" w14:textId="77777777" w:rsidR="00620893" w:rsidRDefault="00000000">
      <w:pPr>
        <w:pStyle w:val="Heading1"/>
        <w:spacing w:before="93"/>
        <w:jc w:val="both"/>
        <w:rPr>
          <w:u w:val="none"/>
        </w:rPr>
      </w:pPr>
      <w:r>
        <w:rPr>
          <w:color w:val="0F0F0F"/>
          <w:w w:val="105"/>
          <w:u w:val="thick" w:color="0F0F0F"/>
        </w:rPr>
        <w:t>Qué significa si el Tribunal emite un "Auto":</w:t>
      </w:r>
    </w:p>
    <w:p w14:paraId="5D2AF7FD" w14:textId="77777777" w:rsidR="00620893" w:rsidRDefault="00000000">
      <w:pPr>
        <w:pStyle w:val="ListParagraph"/>
        <w:numPr>
          <w:ilvl w:val="1"/>
          <w:numId w:val="2"/>
        </w:numPr>
        <w:tabs>
          <w:tab w:val="left" w:pos="830"/>
        </w:tabs>
        <w:spacing w:before="72" w:line="290" w:lineRule="auto"/>
        <w:ind w:right="191" w:hanging="368"/>
        <w:jc w:val="both"/>
        <w:rPr>
          <w:sz w:val="21"/>
        </w:rPr>
      </w:pPr>
      <w:r>
        <w:rPr>
          <w:color w:val="0F0F0F"/>
          <w:w w:val="105"/>
          <w:sz w:val="21"/>
        </w:rPr>
        <w:t>En algunos casos, un juez incluye un auto en la orden judicial. La orden solo se ejecuta (utiliza) si no se muda en la fecha ordenada por el tribunal.</w:t>
      </w:r>
    </w:p>
    <w:p w14:paraId="547892C1" w14:textId="017B8217" w:rsidR="00620893" w:rsidRDefault="00000000">
      <w:pPr>
        <w:pStyle w:val="ListParagraph"/>
        <w:numPr>
          <w:ilvl w:val="1"/>
          <w:numId w:val="2"/>
        </w:numPr>
        <w:tabs>
          <w:tab w:val="left" w:pos="830"/>
        </w:tabs>
        <w:spacing w:before="16" w:line="292" w:lineRule="auto"/>
        <w:ind w:left="830" w:right="225" w:hanging="358"/>
        <w:jc w:val="both"/>
        <w:rPr>
          <w:sz w:val="21"/>
        </w:rPr>
      </w:pPr>
      <w:r>
        <w:rPr>
          <w:color w:val="0F0F0F"/>
          <w:w w:val="105"/>
          <w:sz w:val="21"/>
        </w:rPr>
        <w:t>La orden judicial permite que el arrendador vaya a su casa con un alguacil (como un alguacil) que</w:t>
      </w:r>
      <w:r w:rsidR="00BA2617">
        <w:rPr>
          <w:color w:val="0F0F0F"/>
          <w:w w:val="105"/>
          <w:sz w:val="21"/>
        </w:rPr>
        <w:t xml:space="preserve"> </w:t>
      </w:r>
      <w:r>
        <w:rPr>
          <w:b/>
          <w:color w:val="0F0F0F"/>
          <w:w w:val="105"/>
          <w:sz w:val="19"/>
        </w:rPr>
        <w:t>hacer</w:t>
      </w:r>
      <w:r w:rsidR="00BA2617">
        <w:rPr>
          <w:b/>
          <w:color w:val="0F0F0F"/>
          <w:w w:val="105"/>
          <w:sz w:val="19"/>
        </w:rPr>
        <w:t xml:space="preserve"> </w:t>
      </w:r>
      <w:r>
        <w:rPr>
          <w:color w:val="0F0F0F"/>
          <w:w w:val="105"/>
          <w:sz w:val="21"/>
        </w:rPr>
        <w:t>sales del local. En esta situación, se le permite unos minutos para reunir algunos artículos personales y esenciales, y luego debe irse.</w:t>
      </w:r>
    </w:p>
    <w:p w14:paraId="30A2DAE5" w14:textId="77777777" w:rsidR="00620893" w:rsidRDefault="00000000">
      <w:pPr>
        <w:pStyle w:val="ListParagraph"/>
        <w:numPr>
          <w:ilvl w:val="1"/>
          <w:numId w:val="2"/>
        </w:numPr>
        <w:tabs>
          <w:tab w:val="left" w:pos="835"/>
        </w:tabs>
        <w:spacing w:before="15" w:line="290" w:lineRule="auto"/>
        <w:ind w:left="830" w:right="612" w:hanging="363"/>
        <w:jc w:val="both"/>
        <w:rPr>
          <w:sz w:val="21"/>
        </w:rPr>
      </w:pPr>
      <w:r>
        <w:rPr>
          <w:color w:val="0F0F0F"/>
          <w:w w:val="105"/>
          <w:sz w:val="21"/>
        </w:rPr>
        <w:t>Cualquier propiedad suya que quede en la casa se trasladará a una unidad de almacenamiento y tendrá que pagar las tarifas de mudanza y almacenamiento para recuperar la propiedad.</w:t>
      </w:r>
    </w:p>
    <w:p w14:paraId="72B4426E" w14:textId="77777777" w:rsidR="00620893" w:rsidRDefault="00000000">
      <w:pPr>
        <w:pStyle w:val="ListParagraph"/>
        <w:numPr>
          <w:ilvl w:val="1"/>
          <w:numId w:val="2"/>
        </w:numPr>
        <w:tabs>
          <w:tab w:val="left" w:pos="833"/>
        </w:tabs>
        <w:spacing w:before="16" w:line="295" w:lineRule="auto"/>
        <w:ind w:left="827" w:right="197" w:hanging="361"/>
        <w:jc w:val="both"/>
        <w:rPr>
          <w:sz w:val="21"/>
        </w:rPr>
      </w:pPr>
      <w:r>
        <w:rPr>
          <w:color w:val="0F0F0F"/>
          <w:spacing w:val="-10"/>
          <w:sz w:val="21"/>
        </w:rPr>
        <w:t>TENGA EN CUENTA QUE EL CONSTABLE SÓLO VIENE A EJECUTAR UNA ESCRITURA SI USTED TIENE</w:t>
      </w:r>
      <w:r>
        <w:rPr>
          <w:color w:val="0F0F0F"/>
          <w:sz w:val="21"/>
        </w:rPr>
        <w:t>NO SE MUDÓ EN LA FECHA QUE SU ORDEN JUDICIAL REQUIERE QUE DESALOJE</w:t>
      </w:r>
      <w:r>
        <w:rPr>
          <w:color w:val="3D3D3D"/>
          <w:spacing w:val="-6"/>
          <w:sz w:val="21"/>
        </w:rPr>
        <w:t>.</w:t>
      </w:r>
    </w:p>
    <w:p w14:paraId="08655B7E" w14:textId="77777777" w:rsidR="00620893" w:rsidRDefault="00620893">
      <w:pPr>
        <w:pStyle w:val="BodyText"/>
        <w:spacing w:before="1"/>
        <w:rPr>
          <w:sz w:val="23"/>
        </w:rPr>
      </w:pPr>
    </w:p>
    <w:p w14:paraId="3373A90C" w14:textId="77777777" w:rsidR="00620893" w:rsidRDefault="00000000">
      <w:pPr>
        <w:pStyle w:val="Heading1"/>
        <w:spacing w:before="93"/>
        <w:ind w:left="109"/>
        <w:jc w:val="both"/>
        <w:rPr>
          <w:u w:val="none"/>
        </w:rPr>
      </w:pPr>
      <w:r>
        <w:rPr>
          <w:color w:val="0F0F0F"/>
          <w:w w:val="105"/>
          <w:u w:val="thick" w:color="0F0F0F"/>
        </w:rPr>
        <w:t>Pasos necesarios para presentar una solicitud para que se selle su caso EV del registro público:</w:t>
      </w:r>
    </w:p>
    <w:p w14:paraId="7728F4A4" w14:textId="77777777" w:rsidR="00620893" w:rsidRDefault="00000000">
      <w:pPr>
        <w:pStyle w:val="ListParagraph"/>
        <w:numPr>
          <w:ilvl w:val="0"/>
          <w:numId w:val="1"/>
        </w:numPr>
        <w:tabs>
          <w:tab w:val="left" w:pos="831"/>
        </w:tabs>
        <w:spacing w:before="62" w:line="290" w:lineRule="auto"/>
        <w:ind w:right="369" w:hanging="361"/>
        <w:jc w:val="both"/>
        <w:rPr>
          <w:sz w:val="21"/>
        </w:rPr>
      </w:pPr>
      <w:r>
        <w:rPr>
          <w:b/>
          <w:color w:val="0F0F0F"/>
          <w:w w:val="105"/>
          <w:sz w:val="19"/>
          <w:u w:val="thick" w:color="0F0F0F"/>
        </w:rPr>
        <w:t>Obtener una Orden judicial que resuelva la cuestión de la posesión del local.</w:t>
      </w:r>
      <w:r>
        <w:rPr>
          <w:b/>
          <w:color w:val="0F0F0F"/>
          <w:w w:val="105"/>
          <w:sz w:val="19"/>
        </w:rPr>
        <w:t xml:space="preserve"> </w:t>
      </w:r>
      <w:r>
        <w:rPr>
          <w:color w:val="0F0F0F"/>
          <w:w w:val="105"/>
          <w:sz w:val="21"/>
        </w:rPr>
        <w:t>Esta Orden puede indicar que (a) usted acepta desalojar voluntariamente o (b) el arrendador acepta que puede continuar viviendo en la casa.</w:t>
      </w:r>
    </w:p>
    <w:p w14:paraId="793E3C20" w14:textId="77777777" w:rsidR="00620893" w:rsidRDefault="00000000">
      <w:pPr>
        <w:pStyle w:val="ListParagraph"/>
        <w:numPr>
          <w:ilvl w:val="0"/>
          <w:numId w:val="1"/>
        </w:numPr>
        <w:tabs>
          <w:tab w:val="left" w:pos="831"/>
        </w:tabs>
        <w:spacing w:before="3"/>
        <w:ind w:left="830" w:hanging="359"/>
        <w:jc w:val="both"/>
        <w:rPr>
          <w:b/>
          <w:sz w:val="19"/>
        </w:rPr>
      </w:pPr>
      <w:r>
        <w:rPr>
          <w:b/>
          <w:color w:val="0F0F0F"/>
          <w:w w:val="110"/>
          <w:sz w:val="19"/>
          <w:u w:val="thick" w:color="0F0F0F"/>
        </w:rPr>
        <w:t>Pagar el saldo adeudado al arrendador</w:t>
      </w:r>
      <w:r>
        <w:rPr>
          <w:b/>
          <w:i/>
          <w:color w:val="0F0F0F"/>
          <w:w w:val="110"/>
          <w:sz w:val="20"/>
          <w:u w:val="thick" w:color="0F0F0F"/>
        </w:rPr>
        <w:t>antes</w:t>
      </w:r>
      <w:r>
        <w:rPr>
          <w:b/>
          <w:color w:val="0F0F0F"/>
          <w:w w:val="110"/>
          <w:sz w:val="19"/>
          <w:u w:val="thick" w:color="0F0F0F"/>
        </w:rPr>
        <w:t>la fecha de la audiencia de daños</w:t>
      </w:r>
      <w:r>
        <w:rPr>
          <w:b/>
          <w:color w:val="0F0F0F"/>
          <w:spacing w:val="-2"/>
          <w:w w:val="110"/>
          <w:sz w:val="19"/>
        </w:rPr>
        <w:t>.</w:t>
      </w:r>
    </w:p>
    <w:p w14:paraId="63957DE6" w14:textId="77777777" w:rsidR="00620893" w:rsidRDefault="00000000">
      <w:pPr>
        <w:pStyle w:val="ListParagraph"/>
        <w:numPr>
          <w:ilvl w:val="1"/>
          <w:numId w:val="1"/>
        </w:numPr>
        <w:tabs>
          <w:tab w:val="left" w:pos="1184"/>
          <w:tab w:val="left" w:pos="1185"/>
        </w:tabs>
        <w:spacing w:before="66" w:line="292" w:lineRule="auto"/>
        <w:ind w:right="354" w:hanging="359"/>
        <w:rPr>
          <w:sz w:val="21"/>
        </w:rPr>
      </w:pPr>
      <w:r>
        <w:rPr>
          <w:color w:val="0F0F0F"/>
          <w:w w:val="105"/>
          <w:sz w:val="21"/>
        </w:rPr>
        <w:t>Si ya se mudó de la casa, es posible que pueda negociar un pago reducido. Los propietarios a menudo aceptarán una cantidad reducida a cambio de recibir el pago de inmediato. Puede tratar de negociar un pago reducido directamente con el arrendador o con su abogado.</w:t>
      </w:r>
    </w:p>
    <w:p w14:paraId="790BDE82" w14:textId="2AC373D7" w:rsidR="00620893" w:rsidRDefault="00000000">
      <w:pPr>
        <w:pStyle w:val="ListParagraph"/>
        <w:numPr>
          <w:ilvl w:val="1"/>
          <w:numId w:val="1"/>
        </w:numPr>
        <w:tabs>
          <w:tab w:val="left" w:pos="1184"/>
          <w:tab w:val="left" w:pos="1185"/>
        </w:tabs>
        <w:spacing w:line="288" w:lineRule="auto"/>
        <w:ind w:left="1188" w:right="440" w:hanging="361"/>
        <w:rPr>
          <w:sz w:val="21"/>
        </w:rPr>
      </w:pPr>
      <w:r>
        <w:rPr>
          <w:color w:val="0F0F0F"/>
          <w:w w:val="105"/>
          <w:sz w:val="21"/>
        </w:rPr>
        <w:t>Es importante saldar la deuda</w:t>
      </w:r>
      <w:r w:rsidR="00BA2617">
        <w:rPr>
          <w:color w:val="0F0F0F"/>
          <w:w w:val="105"/>
          <w:sz w:val="21"/>
        </w:rPr>
        <w:t xml:space="preserve"> </w:t>
      </w:r>
      <w:r>
        <w:rPr>
          <w:rFonts w:ascii="Times New Roman" w:hAnsi="Times New Roman"/>
          <w:i/>
          <w:color w:val="0F0F0F"/>
          <w:w w:val="105"/>
          <w:sz w:val="23"/>
        </w:rPr>
        <w:t>antes</w:t>
      </w:r>
      <w:r w:rsidR="00BA2617">
        <w:rPr>
          <w:rFonts w:ascii="Times New Roman" w:hAnsi="Times New Roman"/>
          <w:i/>
          <w:color w:val="0F0F0F"/>
          <w:w w:val="105"/>
          <w:sz w:val="23"/>
        </w:rPr>
        <w:t xml:space="preserve"> </w:t>
      </w:r>
      <w:r>
        <w:rPr>
          <w:color w:val="0F0F0F"/>
          <w:w w:val="105"/>
          <w:sz w:val="21"/>
        </w:rPr>
        <w:t>la audiencia de daños y perjuicios. Si no puede pagar la deuda antes de la audiencia de daños, puede pedirle al juez que aplace la audiencia de daños para darle un poco más de tiempo para pagar la deuda.</w:t>
      </w:r>
      <w:r w:rsidR="009953E0">
        <w:rPr>
          <w:color w:val="0F0F0F"/>
          <w:w w:val="105"/>
          <w:sz w:val="21"/>
        </w:rPr>
        <w:br/>
      </w:r>
      <w:r w:rsidR="009953E0">
        <w:rPr>
          <w:sz w:val="21"/>
        </w:rPr>
        <w:br/>
      </w:r>
    </w:p>
    <w:p w14:paraId="57640807" w14:textId="77777777" w:rsidR="00620893" w:rsidRDefault="00000000">
      <w:pPr>
        <w:pStyle w:val="ListParagraph"/>
        <w:numPr>
          <w:ilvl w:val="1"/>
          <w:numId w:val="1"/>
        </w:numPr>
        <w:tabs>
          <w:tab w:val="left" w:pos="1192"/>
          <w:tab w:val="left" w:pos="1193"/>
        </w:tabs>
        <w:spacing w:before="12" w:line="292" w:lineRule="auto"/>
        <w:ind w:right="165" w:hanging="364"/>
        <w:rPr>
          <w:sz w:val="21"/>
        </w:rPr>
      </w:pPr>
      <w:r>
        <w:rPr>
          <w:color w:val="0F0F0F"/>
          <w:w w:val="105"/>
          <w:sz w:val="21"/>
        </w:rPr>
        <w:lastRenderedPageBreak/>
        <w:t>Cuando pague el monto total adeudado (o el monto reducido acordado), pídale al arrendador una declaración por escrito que indique que ha pagado la deuda en su totalidad y también pídale que desestime el caso judicial.</w:t>
      </w:r>
      <w:r>
        <w:rPr>
          <w:color w:val="3D3D3D"/>
          <w:w w:val="105"/>
          <w:sz w:val="21"/>
        </w:rPr>
        <w:t>.</w:t>
      </w:r>
    </w:p>
    <w:p w14:paraId="6FF4C94E" w14:textId="77777777" w:rsidR="00620893" w:rsidRDefault="00000000">
      <w:pPr>
        <w:pStyle w:val="ListParagraph"/>
        <w:numPr>
          <w:ilvl w:val="2"/>
          <w:numId w:val="1"/>
        </w:numPr>
        <w:tabs>
          <w:tab w:val="left" w:pos="1286"/>
        </w:tabs>
        <w:spacing w:before="69" w:line="290" w:lineRule="auto"/>
        <w:ind w:right="219" w:hanging="363"/>
        <w:jc w:val="both"/>
        <w:rPr>
          <w:sz w:val="21"/>
        </w:rPr>
      </w:pPr>
      <w:r>
        <w:rPr>
          <w:color w:val="0F0F0F"/>
          <w:w w:val="105"/>
          <w:sz w:val="21"/>
        </w:rPr>
        <w:t>Si paga la cantidad acordada y el arrendador no desestima su caso, debe presentar una solicitud ante el tribunal para desestimar el caso. Asegúrese de adjuntar la declaración escrita del propietario de que pagó la deuda en su totalidad.</w:t>
      </w:r>
    </w:p>
    <w:p w14:paraId="1CDB9E03" w14:textId="77777777" w:rsidR="00620893" w:rsidRDefault="00620893">
      <w:pPr>
        <w:pStyle w:val="BodyText"/>
        <w:spacing w:before="10"/>
        <w:rPr>
          <w:sz w:val="24"/>
        </w:rPr>
      </w:pPr>
    </w:p>
    <w:p w14:paraId="3049A97D" w14:textId="77777777" w:rsidR="00620893" w:rsidRDefault="00000000">
      <w:pPr>
        <w:pStyle w:val="ListParagraph"/>
        <w:numPr>
          <w:ilvl w:val="0"/>
          <w:numId w:val="3"/>
        </w:numPr>
        <w:tabs>
          <w:tab w:val="left" w:pos="931"/>
        </w:tabs>
        <w:spacing w:line="290" w:lineRule="auto"/>
        <w:ind w:left="927" w:right="107" w:hanging="362"/>
        <w:jc w:val="left"/>
        <w:rPr>
          <w:sz w:val="21"/>
        </w:rPr>
      </w:pPr>
      <w:r>
        <w:rPr>
          <w:b/>
          <w:color w:val="0F0F0F"/>
          <w:u w:val="thick" w:color="0F0F0F"/>
        </w:rPr>
        <w:t>Pídale a la corte que selle el caso</w:t>
      </w:r>
      <w:r>
        <w:rPr>
          <w:b/>
          <w:color w:val="0F0F0F"/>
        </w:rPr>
        <w:t xml:space="preserve"> </w:t>
      </w:r>
      <w:r>
        <w:rPr>
          <w:color w:val="0F0F0F"/>
        </w:rPr>
        <w:t>- ¡Este es el paso que elimina su caso del registro público! DESPUÉS de que su caso haya sido desestimado y haya pagado el saldo adeudado al arrendador, estará listo para presentar una Moción para sellar el caso de desalojo (las instrucciones y el formulario están disponibles en lndianaLegalHelp.org).</w:t>
      </w:r>
    </w:p>
    <w:p w14:paraId="14F7F66E" w14:textId="77777777" w:rsidR="00620893" w:rsidRDefault="00620893">
      <w:pPr>
        <w:pStyle w:val="BodyText"/>
        <w:spacing w:before="9"/>
        <w:rPr>
          <w:sz w:val="25"/>
        </w:rPr>
      </w:pPr>
    </w:p>
    <w:p w14:paraId="07B5A185" w14:textId="77777777" w:rsidR="00620893" w:rsidRDefault="00000000">
      <w:pPr>
        <w:pStyle w:val="BodyText"/>
        <w:spacing w:line="290" w:lineRule="auto"/>
        <w:ind w:left="926" w:hanging="1"/>
      </w:pPr>
      <w:r>
        <w:rPr>
          <w:color w:val="0F0F0F"/>
          <w:w w:val="105"/>
        </w:rPr>
        <w:t>Si no puede realizar estos pasos por su cuenta, o si el tribunal deniega su Moción para sellar, puede comunicarse con uno de los siguientes proveedores de servicios legales para que le ayuden a sellar su caso:</w:t>
      </w:r>
    </w:p>
    <w:p w14:paraId="5E0230B3" w14:textId="77777777" w:rsidR="00620893" w:rsidRDefault="00620893">
      <w:pPr>
        <w:pStyle w:val="BodyText"/>
        <w:spacing w:before="4"/>
        <w:rPr>
          <w:sz w:val="27"/>
        </w:rPr>
      </w:pPr>
    </w:p>
    <w:p w14:paraId="15132483" w14:textId="77777777" w:rsidR="00620893" w:rsidRDefault="00000000">
      <w:pPr>
        <w:pStyle w:val="ListParagraph"/>
        <w:numPr>
          <w:ilvl w:val="1"/>
          <w:numId w:val="3"/>
        </w:numPr>
        <w:tabs>
          <w:tab w:val="left" w:pos="1646"/>
          <w:tab w:val="left" w:pos="1647"/>
        </w:tabs>
        <w:spacing w:line="285" w:lineRule="auto"/>
        <w:ind w:right="284" w:hanging="371"/>
        <w:rPr>
          <w:sz w:val="21"/>
        </w:rPr>
      </w:pPr>
      <w:r>
        <w:rPr>
          <w:color w:val="0F0F0F"/>
          <w:w w:val="105"/>
          <w:sz w:val="21"/>
        </w:rPr>
        <w:t>Servicios Legales de Indiana en</w:t>
      </w:r>
      <w:r>
        <w:rPr>
          <w:color w:val="2385D3"/>
          <w:w w:val="105"/>
          <w:sz w:val="21"/>
          <w:u w:val="thick" w:color="2385D3"/>
        </w:rPr>
        <w:t>https://</w:t>
      </w:r>
      <w:hyperlink r:id="rId8">
        <w:r>
          <w:rPr>
            <w:color w:val="2385D3"/>
            <w:w w:val="105"/>
            <w:sz w:val="21"/>
            <w:u w:val="thick" w:color="2385D3"/>
          </w:rPr>
          <w:t>www.indianalegalservices</w:t>
        </w:r>
        <w:r>
          <w:rPr>
            <w:color w:val="4895D4"/>
            <w:w w:val="105"/>
            <w:sz w:val="21"/>
            <w:u w:val="thick" w:color="2385D3"/>
          </w:rPr>
          <w:t>.</w:t>
        </w:r>
        <w:r>
          <w:rPr>
            <w:color w:val="2385D3"/>
            <w:w w:val="105"/>
            <w:sz w:val="21"/>
            <w:u w:val="thick" w:color="2385D3"/>
          </w:rPr>
          <w:t>org/solicitar en línea</w:t>
        </w:r>
      </w:hyperlink>
      <w:r>
        <w:rPr>
          <w:color w:val="2385D3"/>
          <w:spacing w:val="-9"/>
          <w:w w:val="105"/>
          <w:sz w:val="21"/>
        </w:rPr>
        <w:t xml:space="preserve"> </w:t>
      </w:r>
      <w:r>
        <w:rPr>
          <w:color w:val="0F0F0F"/>
          <w:w w:val="105"/>
          <w:sz w:val="21"/>
        </w:rPr>
        <w:t>y teléfono 1-844-243-8570 lunes</w:t>
      </w:r>
      <w:r>
        <w:rPr>
          <w:color w:val="232323"/>
          <w:w w:val="105"/>
          <w:sz w:val="21"/>
        </w:rPr>
        <w:t>-</w:t>
      </w:r>
      <w:r>
        <w:rPr>
          <w:color w:val="0F0F0F"/>
          <w:w w:val="105"/>
          <w:sz w:val="21"/>
        </w:rPr>
        <w:t>viernes de 10 a 14 h;</w:t>
      </w:r>
    </w:p>
    <w:p w14:paraId="1A6C7522" w14:textId="77777777" w:rsidR="00620893" w:rsidRDefault="00000000">
      <w:pPr>
        <w:pStyle w:val="ListParagraph"/>
        <w:numPr>
          <w:ilvl w:val="1"/>
          <w:numId w:val="3"/>
        </w:numPr>
        <w:tabs>
          <w:tab w:val="left" w:pos="1641"/>
          <w:tab w:val="left" w:pos="1642"/>
        </w:tabs>
        <w:spacing w:before="31" w:line="280" w:lineRule="auto"/>
        <w:ind w:left="1647" w:right="430" w:hanging="359"/>
        <w:rPr>
          <w:sz w:val="21"/>
        </w:rPr>
      </w:pPr>
      <w:r>
        <w:rPr>
          <w:color w:val="0F0F0F"/>
          <w:w w:val="105"/>
          <w:sz w:val="21"/>
        </w:rPr>
        <w:t>La Clínica Legal Cristiana del Vecindario en</w:t>
      </w:r>
      <w:r>
        <w:rPr>
          <w:color w:val="2385D3"/>
          <w:w w:val="105"/>
          <w:sz w:val="21"/>
          <w:u w:val="thick" w:color="2385D3"/>
        </w:rPr>
        <w:t>https</w:t>
      </w:r>
      <w:r>
        <w:rPr>
          <w:color w:val="4895D4"/>
          <w:w w:val="105"/>
          <w:sz w:val="21"/>
          <w:u w:val="thick" w:color="2385D3"/>
        </w:rPr>
        <w:t>:</w:t>
      </w:r>
      <w:r>
        <w:rPr>
          <w:color w:val="2385D3"/>
          <w:w w:val="105"/>
          <w:sz w:val="21"/>
          <w:u w:val="thick" w:color="2385D3"/>
        </w:rPr>
        <w:t>//</w:t>
      </w:r>
      <w:hyperlink r:id="rId9">
        <w:r>
          <w:rPr>
            <w:color w:val="2385D3"/>
            <w:w w:val="105"/>
            <w:sz w:val="21"/>
            <w:u w:val="thick" w:color="2385D3"/>
          </w:rPr>
          <w:t>www.nclegalclinic.org/intakes y teléfono</w:t>
        </w:r>
      </w:hyperlink>
      <w:r>
        <w:rPr>
          <w:color w:val="2385D3"/>
          <w:w w:val="105"/>
          <w:sz w:val="21"/>
        </w:rPr>
        <w:t>317-429-4131</w:t>
      </w:r>
      <w:r>
        <w:rPr>
          <w:color w:val="0F0F0F"/>
          <w:spacing w:val="-2"/>
          <w:w w:val="105"/>
          <w:sz w:val="21"/>
        </w:rPr>
        <w:t>;</w:t>
      </w:r>
    </w:p>
    <w:p w14:paraId="4DD64E07" w14:textId="77777777" w:rsidR="00620893" w:rsidRDefault="00000000">
      <w:pPr>
        <w:pStyle w:val="ListParagraph"/>
        <w:numPr>
          <w:ilvl w:val="1"/>
          <w:numId w:val="3"/>
        </w:numPr>
        <w:tabs>
          <w:tab w:val="left" w:pos="1641"/>
          <w:tab w:val="left" w:pos="1642"/>
        </w:tabs>
        <w:spacing w:before="31"/>
        <w:ind w:left="1642" w:hanging="358"/>
        <w:rPr>
          <w:sz w:val="21"/>
        </w:rPr>
      </w:pPr>
      <w:r>
        <w:rPr>
          <w:color w:val="0F0F0F"/>
          <w:spacing w:val="-2"/>
          <w:w w:val="105"/>
          <w:sz w:val="21"/>
        </w:rPr>
        <w:t>La Sociedad de Ayuda Legal de Indianápolis, número de teléfono 317-635-9538.</w:t>
      </w:r>
    </w:p>
    <w:sectPr w:rsidR="00620893">
      <w:pgSz w:w="12240" w:h="15840"/>
      <w:pgMar w:top="700" w:right="50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2C73"/>
    <w:multiLevelType w:val="hybridMultilevel"/>
    <w:tmpl w:val="0CF8D8D6"/>
    <w:lvl w:ilvl="0" w:tplc="0562EA74">
      <w:start w:val="1"/>
      <w:numFmt w:val="decimal"/>
      <w:lvlText w:val="%1)"/>
      <w:lvlJc w:val="left"/>
      <w:pPr>
        <w:ind w:left="826" w:hanging="365"/>
        <w:jc w:val="left"/>
      </w:pPr>
      <w:rPr>
        <w:rFonts w:ascii="Arial" w:eastAsia="Arial" w:hAnsi="Arial" w:cs="Arial" w:hint="default"/>
        <w:b w:val="0"/>
        <w:bCs w:val="0"/>
        <w:i w:val="0"/>
        <w:iCs w:val="0"/>
        <w:color w:val="0F0F0F"/>
        <w:spacing w:val="-1"/>
        <w:w w:val="102"/>
        <w:sz w:val="21"/>
        <w:szCs w:val="21"/>
        <w:lang w:val="en-US" w:eastAsia="en-US" w:bidi="ar-SA"/>
      </w:rPr>
    </w:lvl>
    <w:lvl w:ilvl="1" w:tplc="161C9306">
      <w:numFmt w:val="bullet"/>
      <w:lvlText w:val="•"/>
      <w:lvlJc w:val="left"/>
      <w:pPr>
        <w:ind w:left="1186" w:hanging="357"/>
      </w:pPr>
      <w:rPr>
        <w:rFonts w:ascii="Arial" w:eastAsia="Arial" w:hAnsi="Arial" w:cs="Arial" w:hint="default"/>
        <w:b w:val="0"/>
        <w:bCs w:val="0"/>
        <w:i w:val="0"/>
        <w:iCs w:val="0"/>
        <w:color w:val="0F0F0F"/>
        <w:w w:val="110"/>
        <w:sz w:val="21"/>
        <w:szCs w:val="21"/>
        <w:lang w:val="en-US" w:eastAsia="en-US" w:bidi="ar-SA"/>
      </w:rPr>
    </w:lvl>
    <w:lvl w:ilvl="2" w:tplc="EFDECDC6">
      <w:numFmt w:val="bullet"/>
      <w:lvlText w:val="•"/>
      <w:lvlJc w:val="left"/>
      <w:pPr>
        <w:ind w:left="1291" w:hanging="357"/>
      </w:pPr>
      <w:rPr>
        <w:rFonts w:ascii="Arial" w:eastAsia="Arial" w:hAnsi="Arial" w:cs="Arial" w:hint="default"/>
        <w:b w:val="0"/>
        <w:bCs w:val="0"/>
        <w:i w:val="0"/>
        <w:iCs w:val="0"/>
        <w:color w:val="0F0F0F"/>
        <w:w w:val="100"/>
        <w:sz w:val="21"/>
        <w:szCs w:val="21"/>
        <w:lang w:val="en-US" w:eastAsia="en-US" w:bidi="ar-SA"/>
      </w:rPr>
    </w:lvl>
    <w:lvl w:ilvl="3" w:tplc="E132E13E">
      <w:numFmt w:val="bullet"/>
      <w:lvlText w:val="•"/>
      <w:lvlJc w:val="left"/>
      <w:pPr>
        <w:ind w:left="2520" w:hanging="357"/>
      </w:pPr>
      <w:rPr>
        <w:rFonts w:hint="default"/>
        <w:lang w:val="en-US" w:eastAsia="en-US" w:bidi="ar-SA"/>
      </w:rPr>
    </w:lvl>
    <w:lvl w:ilvl="4" w:tplc="C9B84C2C">
      <w:numFmt w:val="bullet"/>
      <w:lvlText w:val="•"/>
      <w:lvlJc w:val="left"/>
      <w:pPr>
        <w:ind w:left="3740" w:hanging="357"/>
      </w:pPr>
      <w:rPr>
        <w:rFonts w:hint="default"/>
        <w:lang w:val="en-US" w:eastAsia="en-US" w:bidi="ar-SA"/>
      </w:rPr>
    </w:lvl>
    <w:lvl w:ilvl="5" w:tplc="C81A174A">
      <w:numFmt w:val="bullet"/>
      <w:lvlText w:val="•"/>
      <w:lvlJc w:val="left"/>
      <w:pPr>
        <w:ind w:left="4960" w:hanging="357"/>
      </w:pPr>
      <w:rPr>
        <w:rFonts w:hint="default"/>
        <w:lang w:val="en-US" w:eastAsia="en-US" w:bidi="ar-SA"/>
      </w:rPr>
    </w:lvl>
    <w:lvl w:ilvl="6" w:tplc="B9581054">
      <w:numFmt w:val="bullet"/>
      <w:lvlText w:val="•"/>
      <w:lvlJc w:val="left"/>
      <w:pPr>
        <w:ind w:left="6180" w:hanging="357"/>
      </w:pPr>
      <w:rPr>
        <w:rFonts w:hint="default"/>
        <w:lang w:val="en-US" w:eastAsia="en-US" w:bidi="ar-SA"/>
      </w:rPr>
    </w:lvl>
    <w:lvl w:ilvl="7" w:tplc="D16EE8C8">
      <w:numFmt w:val="bullet"/>
      <w:lvlText w:val="•"/>
      <w:lvlJc w:val="left"/>
      <w:pPr>
        <w:ind w:left="7400" w:hanging="357"/>
      </w:pPr>
      <w:rPr>
        <w:rFonts w:hint="default"/>
        <w:lang w:val="en-US" w:eastAsia="en-US" w:bidi="ar-SA"/>
      </w:rPr>
    </w:lvl>
    <w:lvl w:ilvl="8" w:tplc="04C43D34">
      <w:numFmt w:val="bullet"/>
      <w:lvlText w:val="•"/>
      <w:lvlJc w:val="left"/>
      <w:pPr>
        <w:ind w:left="8620" w:hanging="357"/>
      </w:pPr>
      <w:rPr>
        <w:rFonts w:hint="default"/>
        <w:lang w:val="en-US" w:eastAsia="en-US" w:bidi="ar-SA"/>
      </w:rPr>
    </w:lvl>
  </w:abstractNum>
  <w:abstractNum w:abstractNumId="1" w15:restartNumberingAfterBreak="0">
    <w:nsid w:val="48977E40"/>
    <w:multiLevelType w:val="hybridMultilevel"/>
    <w:tmpl w:val="3D10E402"/>
    <w:lvl w:ilvl="0" w:tplc="BE320CD2">
      <w:start w:val="1"/>
      <w:numFmt w:val="decimal"/>
      <w:lvlText w:val="%1)"/>
      <w:lvlJc w:val="left"/>
      <w:pPr>
        <w:ind w:left="843" w:hanging="364"/>
        <w:jc w:val="right"/>
      </w:pPr>
      <w:rPr>
        <w:rFonts w:ascii="Arial" w:eastAsia="Arial" w:hAnsi="Arial" w:cs="Arial" w:hint="default"/>
        <w:b w:val="0"/>
        <w:bCs w:val="0"/>
        <w:i w:val="0"/>
        <w:iCs w:val="0"/>
        <w:color w:val="0F0F0F"/>
        <w:spacing w:val="-1"/>
        <w:w w:val="102"/>
        <w:sz w:val="21"/>
        <w:szCs w:val="21"/>
        <w:lang w:val="en-US" w:eastAsia="en-US" w:bidi="ar-SA"/>
      </w:rPr>
    </w:lvl>
    <w:lvl w:ilvl="1" w:tplc="5614D872">
      <w:numFmt w:val="bullet"/>
      <w:lvlText w:val="•"/>
      <w:lvlJc w:val="left"/>
      <w:pPr>
        <w:ind w:left="1655" w:hanging="362"/>
      </w:pPr>
      <w:rPr>
        <w:rFonts w:ascii="Arial" w:eastAsia="Arial" w:hAnsi="Arial" w:cs="Arial" w:hint="default"/>
        <w:b w:val="0"/>
        <w:bCs w:val="0"/>
        <w:i w:val="0"/>
        <w:iCs w:val="0"/>
        <w:color w:val="0F0F0F"/>
        <w:w w:val="101"/>
        <w:sz w:val="21"/>
        <w:szCs w:val="21"/>
        <w:lang w:val="en-US" w:eastAsia="en-US" w:bidi="ar-SA"/>
      </w:rPr>
    </w:lvl>
    <w:lvl w:ilvl="2" w:tplc="383A7D4E">
      <w:numFmt w:val="bullet"/>
      <w:lvlText w:val="•"/>
      <w:lvlJc w:val="left"/>
      <w:pPr>
        <w:ind w:left="2704" w:hanging="362"/>
      </w:pPr>
      <w:rPr>
        <w:rFonts w:hint="default"/>
        <w:lang w:val="en-US" w:eastAsia="en-US" w:bidi="ar-SA"/>
      </w:rPr>
    </w:lvl>
    <w:lvl w:ilvl="3" w:tplc="9804389A">
      <w:numFmt w:val="bullet"/>
      <w:lvlText w:val="•"/>
      <w:lvlJc w:val="left"/>
      <w:pPr>
        <w:ind w:left="3748" w:hanging="362"/>
      </w:pPr>
      <w:rPr>
        <w:rFonts w:hint="default"/>
        <w:lang w:val="en-US" w:eastAsia="en-US" w:bidi="ar-SA"/>
      </w:rPr>
    </w:lvl>
    <w:lvl w:ilvl="4" w:tplc="F9582F7E">
      <w:numFmt w:val="bullet"/>
      <w:lvlText w:val="•"/>
      <w:lvlJc w:val="left"/>
      <w:pPr>
        <w:ind w:left="4793" w:hanging="362"/>
      </w:pPr>
      <w:rPr>
        <w:rFonts w:hint="default"/>
        <w:lang w:val="en-US" w:eastAsia="en-US" w:bidi="ar-SA"/>
      </w:rPr>
    </w:lvl>
    <w:lvl w:ilvl="5" w:tplc="433254F6">
      <w:numFmt w:val="bullet"/>
      <w:lvlText w:val="•"/>
      <w:lvlJc w:val="left"/>
      <w:pPr>
        <w:ind w:left="5837" w:hanging="362"/>
      </w:pPr>
      <w:rPr>
        <w:rFonts w:hint="default"/>
        <w:lang w:val="en-US" w:eastAsia="en-US" w:bidi="ar-SA"/>
      </w:rPr>
    </w:lvl>
    <w:lvl w:ilvl="6" w:tplc="B8926FF8">
      <w:numFmt w:val="bullet"/>
      <w:lvlText w:val="•"/>
      <w:lvlJc w:val="left"/>
      <w:pPr>
        <w:ind w:left="6882" w:hanging="362"/>
      </w:pPr>
      <w:rPr>
        <w:rFonts w:hint="default"/>
        <w:lang w:val="en-US" w:eastAsia="en-US" w:bidi="ar-SA"/>
      </w:rPr>
    </w:lvl>
    <w:lvl w:ilvl="7" w:tplc="F9F833C8">
      <w:numFmt w:val="bullet"/>
      <w:lvlText w:val="•"/>
      <w:lvlJc w:val="left"/>
      <w:pPr>
        <w:ind w:left="7926" w:hanging="362"/>
      </w:pPr>
      <w:rPr>
        <w:rFonts w:hint="default"/>
        <w:lang w:val="en-US" w:eastAsia="en-US" w:bidi="ar-SA"/>
      </w:rPr>
    </w:lvl>
    <w:lvl w:ilvl="8" w:tplc="EAF43568">
      <w:numFmt w:val="bullet"/>
      <w:lvlText w:val="•"/>
      <w:lvlJc w:val="left"/>
      <w:pPr>
        <w:ind w:left="8971" w:hanging="362"/>
      </w:pPr>
      <w:rPr>
        <w:rFonts w:hint="default"/>
        <w:lang w:val="en-US" w:eastAsia="en-US" w:bidi="ar-SA"/>
      </w:rPr>
    </w:lvl>
  </w:abstractNum>
  <w:abstractNum w:abstractNumId="2" w15:restartNumberingAfterBreak="0">
    <w:nsid w:val="691E7B01"/>
    <w:multiLevelType w:val="hybridMultilevel"/>
    <w:tmpl w:val="52F28E54"/>
    <w:lvl w:ilvl="0" w:tplc="A21E035E">
      <w:start w:val="1"/>
      <w:numFmt w:val="decimal"/>
      <w:lvlText w:val="%1)"/>
      <w:lvlJc w:val="left"/>
      <w:pPr>
        <w:ind w:left="847" w:hanging="368"/>
        <w:jc w:val="left"/>
      </w:pPr>
      <w:rPr>
        <w:rFonts w:ascii="Arial" w:eastAsia="Arial" w:hAnsi="Arial" w:cs="Arial" w:hint="default"/>
        <w:b w:val="0"/>
        <w:bCs w:val="0"/>
        <w:i w:val="0"/>
        <w:iCs w:val="0"/>
        <w:color w:val="0F0F0F"/>
        <w:spacing w:val="-1"/>
        <w:w w:val="105"/>
        <w:sz w:val="21"/>
        <w:szCs w:val="21"/>
        <w:lang w:val="en-US" w:eastAsia="en-US" w:bidi="ar-SA"/>
      </w:rPr>
    </w:lvl>
    <w:lvl w:ilvl="1" w:tplc="9B42D4AE">
      <w:numFmt w:val="bullet"/>
      <w:lvlText w:val="•"/>
      <w:lvlJc w:val="left"/>
      <w:pPr>
        <w:ind w:left="1862" w:hanging="368"/>
      </w:pPr>
      <w:rPr>
        <w:rFonts w:hint="default"/>
        <w:lang w:val="en-US" w:eastAsia="en-US" w:bidi="ar-SA"/>
      </w:rPr>
    </w:lvl>
    <w:lvl w:ilvl="2" w:tplc="92E044E2">
      <w:numFmt w:val="bullet"/>
      <w:lvlText w:val="•"/>
      <w:lvlJc w:val="left"/>
      <w:pPr>
        <w:ind w:left="2884" w:hanging="368"/>
      </w:pPr>
      <w:rPr>
        <w:rFonts w:hint="default"/>
        <w:lang w:val="en-US" w:eastAsia="en-US" w:bidi="ar-SA"/>
      </w:rPr>
    </w:lvl>
    <w:lvl w:ilvl="3" w:tplc="EEE45A78">
      <w:numFmt w:val="bullet"/>
      <w:lvlText w:val="•"/>
      <w:lvlJc w:val="left"/>
      <w:pPr>
        <w:ind w:left="3906" w:hanging="368"/>
      </w:pPr>
      <w:rPr>
        <w:rFonts w:hint="default"/>
        <w:lang w:val="en-US" w:eastAsia="en-US" w:bidi="ar-SA"/>
      </w:rPr>
    </w:lvl>
    <w:lvl w:ilvl="4" w:tplc="32541442">
      <w:numFmt w:val="bullet"/>
      <w:lvlText w:val="•"/>
      <w:lvlJc w:val="left"/>
      <w:pPr>
        <w:ind w:left="4928" w:hanging="368"/>
      </w:pPr>
      <w:rPr>
        <w:rFonts w:hint="default"/>
        <w:lang w:val="en-US" w:eastAsia="en-US" w:bidi="ar-SA"/>
      </w:rPr>
    </w:lvl>
    <w:lvl w:ilvl="5" w:tplc="9BB05268">
      <w:numFmt w:val="bullet"/>
      <w:lvlText w:val="•"/>
      <w:lvlJc w:val="left"/>
      <w:pPr>
        <w:ind w:left="5950" w:hanging="368"/>
      </w:pPr>
      <w:rPr>
        <w:rFonts w:hint="default"/>
        <w:lang w:val="en-US" w:eastAsia="en-US" w:bidi="ar-SA"/>
      </w:rPr>
    </w:lvl>
    <w:lvl w:ilvl="6" w:tplc="CBD8CBAA">
      <w:numFmt w:val="bullet"/>
      <w:lvlText w:val="•"/>
      <w:lvlJc w:val="left"/>
      <w:pPr>
        <w:ind w:left="6972" w:hanging="368"/>
      </w:pPr>
      <w:rPr>
        <w:rFonts w:hint="default"/>
        <w:lang w:val="en-US" w:eastAsia="en-US" w:bidi="ar-SA"/>
      </w:rPr>
    </w:lvl>
    <w:lvl w:ilvl="7" w:tplc="B8A05AF4">
      <w:numFmt w:val="bullet"/>
      <w:lvlText w:val="•"/>
      <w:lvlJc w:val="left"/>
      <w:pPr>
        <w:ind w:left="7994" w:hanging="368"/>
      </w:pPr>
      <w:rPr>
        <w:rFonts w:hint="default"/>
        <w:lang w:val="en-US" w:eastAsia="en-US" w:bidi="ar-SA"/>
      </w:rPr>
    </w:lvl>
    <w:lvl w:ilvl="8" w:tplc="D146E804">
      <w:numFmt w:val="bullet"/>
      <w:lvlText w:val="•"/>
      <w:lvlJc w:val="left"/>
      <w:pPr>
        <w:ind w:left="9016" w:hanging="368"/>
      </w:pPr>
      <w:rPr>
        <w:rFonts w:hint="default"/>
        <w:lang w:val="en-US" w:eastAsia="en-US" w:bidi="ar-SA"/>
      </w:rPr>
    </w:lvl>
  </w:abstractNum>
  <w:abstractNum w:abstractNumId="3" w15:restartNumberingAfterBreak="0">
    <w:nsid w:val="72475176"/>
    <w:multiLevelType w:val="hybridMultilevel"/>
    <w:tmpl w:val="B7BC5E06"/>
    <w:lvl w:ilvl="0" w:tplc="91446DE0">
      <w:start w:val="1"/>
      <w:numFmt w:val="decimal"/>
      <w:lvlText w:val="%1)"/>
      <w:lvlJc w:val="left"/>
      <w:pPr>
        <w:ind w:left="839" w:hanging="368"/>
        <w:jc w:val="left"/>
      </w:pPr>
      <w:rPr>
        <w:rFonts w:ascii="Arial" w:eastAsia="Arial" w:hAnsi="Arial" w:cs="Arial" w:hint="default"/>
        <w:b w:val="0"/>
        <w:bCs w:val="0"/>
        <w:i w:val="0"/>
        <w:iCs w:val="0"/>
        <w:color w:val="0F0F0F"/>
        <w:spacing w:val="-1"/>
        <w:w w:val="105"/>
        <w:sz w:val="21"/>
        <w:szCs w:val="21"/>
        <w:lang w:val="en-US" w:eastAsia="en-US" w:bidi="ar-SA"/>
      </w:rPr>
    </w:lvl>
    <w:lvl w:ilvl="1" w:tplc="AF08334C">
      <w:numFmt w:val="bullet"/>
      <w:lvlText w:val="•"/>
      <w:lvlJc w:val="left"/>
      <w:pPr>
        <w:ind w:left="834" w:hanging="362"/>
      </w:pPr>
      <w:rPr>
        <w:rFonts w:ascii="Arial" w:eastAsia="Arial" w:hAnsi="Arial" w:cs="Arial" w:hint="default"/>
        <w:b w:val="0"/>
        <w:bCs w:val="0"/>
        <w:i w:val="0"/>
        <w:iCs w:val="0"/>
        <w:color w:val="0F0F0F"/>
        <w:w w:val="114"/>
        <w:sz w:val="21"/>
        <w:szCs w:val="21"/>
        <w:lang w:val="en-US" w:eastAsia="en-US" w:bidi="ar-SA"/>
      </w:rPr>
    </w:lvl>
    <w:lvl w:ilvl="2" w:tplc="4602197C">
      <w:numFmt w:val="bullet"/>
      <w:lvlText w:val="•"/>
      <w:lvlJc w:val="left"/>
      <w:pPr>
        <w:ind w:left="2884" w:hanging="362"/>
      </w:pPr>
      <w:rPr>
        <w:rFonts w:hint="default"/>
        <w:lang w:val="en-US" w:eastAsia="en-US" w:bidi="ar-SA"/>
      </w:rPr>
    </w:lvl>
    <w:lvl w:ilvl="3" w:tplc="0A142164">
      <w:numFmt w:val="bullet"/>
      <w:lvlText w:val="•"/>
      <w:lvlJc w:val="left"/>
      <w:pPr>
        <w:ind w:left="3906" w:hanging="362"/>
      </w:pPr>
      <w:rPr>
        <w:rFonts w:hint="default"/>
        <w:lang w:val="en-US" w:eastAsia="en-US" w:bidi="ar-SA"/>
      </w:rPr>
    </w:lvl>
    <w:lvl w:ilvl="4" w:tplc="7E808316">
      <w:numFmt w:val="bullet"/>
      <w:lvlText w:val="•"/>
      <w:lvlJc w:val="left"/>
      <w:pPr>
        <w:ind w:left="4928" w:hanging="362"/>
      </w:pPr>
      <w:rPr>
        <w:rFonts w:hint="default"/>
        <w:lang w:val="en-US" w:eastAsia="en-US" w:bidi="ar-SA"/>
      </w:rPr>
    </w:lvl>
    <w:lvl w:ilvl="5" w:tplc="6B76119A">
      <w:numFmt w:val="bullet"/>
      <w:lvlText w:val="•"/>
      <w:lvlJc w:val="left"/>
      <w:pPr>
        <w:ind w:left="5950" w:hanging="362"/>
      </w:pPr>
      <w:rPr>
        <w:rFonts w:hint="default"/>
        <w:lang w:val="en-US" w:eastAsia="en-US" w:bidi="ar-SA"/>
      </w:rPr>
    </w:lvl>
    <w:lvl w:ilvl="6" w:tplc="AC941EA2">
      <w:numFmt w:val="bullet"/>
      <w:lvlText w:val="•"/>
      <w:lvlJc w:val="left"/>
      <w:pPr>
        <w:ind w:left="6972" w:hanging="362"/>
      </w:pPr>
      <w:rPr>
        <w:rFonts w:hint="default"/>
        <w:lang w:val="en-US" w:eastAsia="en-US" w:bidi="ar-SA"/>
      </w:rPr>
    </w:lvl>
    <w:lvl w:ilvl="7" w:tplc="8404F166">
      <w:numFmt w:val="bullet"/>
      <w:lvlText w:val="•"/>
      <w:lvlJc w:val="left"/>
      <w:pPr>
        <w:ind w:left="7994" w:hanging="362"/>
      </w:pPr>
      <w:rPr>
        <w:rFonts w:hint="default"/>
        <w:lang w:val="en-US" w:eastAsia="en-US" w:bidi="ar-SA"/>
      </w:rPr>
    </w:lvl>
    <w:lvl w:ilvl="8" w:tplc="8C38AD68">
      <w:numFmt w:val="bullet"/>
      <w:lvlText w:val="•"/>
      <w:lvlJc w:val="left"/>
      <w:pPr>
        <w:ind w:left="9016" w:hanging="362"/>
      </w:pPr>
      <w:rPr>
        <w:rFonts w:hint="default"/>
        <w:lang w:val="en-US" w:eastAsia="en-US" w:bidi="ar-SA"/>
      </w:rPr>
    </w:lvl>
  </w:abstractNum>
  <w:num w:numId="1" w16cid:durableId="1814759195">
    <w:abstractNumId w:val="0"/>
  </w:num>
  <w:num w:numId="2" w16cid:durableId="382094563">
    <w:abstractNumId w:val="3"/>
  </w:num>
  <w:num w:numId="3" w16cid:durableId="1887254407">
    <w:abstractNumId w:val="1"/>
  </w:num>
  <w:num w:numId="4" w16cid:durableId="15144972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893"/>
    <w:rsid w:val="00295330"/>
    <w:rsid w:val="00620893"/>
    <w:rsid w:val="00945EE7"/>
    <w:rsid w:val="009953E0"/>
    <w:rsid w:val="00A73F1C"/>
    <w:rsid w:val="00BA2617"/>
    <w:rsid w:val="00C35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87FDF"/>
  <w15:docId w15:val="{05A7FC59-2800-45F7-8FAA-A87D2470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7"/>
      <w:outlineLvl w:val="0"/>
    </w:pPr>
    <w:rPr>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68"/>
      <w:ind w:left="4185" w:right="4177"/>
      <w:jc w:val="center"/>
    </w:pPr>
    <w:rPr>
      <w:b/>
      <w:bCs/>
      <w:sz w:val="31"/>
      <w:szCs w:val="31"/>
      <w:u w:val="single" w:color="000000"/>
    </w:rPr>
  </w:style>
  <w:style w:type="paragraph" w:styleId="ListParagraph">
    <w:name w:val="List Paragraph"/>
    <w:basedOn w:val="Normal"/>
    <w:uiPriority w:val="1"/>
    <w:qFormat/>
    <w:pPr>
      <w:ind w:left="830" w:hanging="35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ndianalegalservices.org/applyonline" TargetMode="External"/><Relationship Id="rId3" Type="http://schemas.openxmlformats.org/officeDocument/2006/relationships/settings" Target="settings.xml"/><Relationship Id="rId7" Type="http://schemas.openxmlformats.org/officeDocument/2006/relationships/hyperlink" Target="https://www.onlinedoctranslator.com/es/?utm_source=onlinedoctranslator&amp;utm_medium=docx&amp;utm_campaign=attribu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linedoctranslator.com/es/?utm_source=onlinedoctranslator&amp;utm_medium=docx&amp;utm_campaign=attributio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legalclinic.org/intakesandph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Thompson</dc:creator>
  <cp:lastModifiedBy>Marcia Roberts</cp:lastModifiedBy>
  <cp:revision>2</cp:revision>
  <cp:lastPrinted>2023-04-06T14:48:00Z</cp:lastPrinted>
  <dcterms:created xsi:type="dcterms:W3CDTF">2023-04-12T15:15:00Z</dcterms:created>
  <dcterms:modified xsi:type="dcterms:W3CDTF">2023-04-12T15:15:00Z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2023-03-09T00:00:00Z</vt:filetime>
  </property>
  <property fmtid="{D5CDD505-2E9C-101B-9397-08002B2CF9AE}" pid="3" name="Creator">
    <vt:lpwstr>Canon SC1011</vt:lpwstr>
  </property>
  <property fmtid="{D5CDD505-2E9C-101B-9397-08002B2CF9AE}" pid="4" name="LastSaved">
    <vt:filetime>2023-04-06T00:00:00Z</vt:filetime>
  </property>
  <property fmtid="{D5CDD505-2E9C-101B-9397-08002B2CF9AE}" pid="5" name="Producer">
    <vt:lpwstr>IJ Scan Utility Lite</vt:lpwstr>
  </property>
</Properties>
</file>